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61" w:rsidRPr="00A34161" w:rsidRDefault="00A34161" w:rsidP="00A34161">
      <w:pPr>
        <w:pStyle w:val="1"/>
        <w:spacing w:before="0"/>
        <w:ind w:left="360"/>
        <w:jc w:val="both"/>
        <w:rPr>
          <w:rFonts w:ascii="Times New Roman" w:hAnsi="Times New Roman" w:cs="Times New Roman"/>
          <w:color w:val="auto"/>
          <w:sz w:val="24"/>
        </w:rPr>
      </w:pPr>
      <w:r w:rsidRPr="00A34161">
        <w:rPr>
          <w:rFonts w:ascii="Times New Roman" w:hAnsi="Times New Roman" w:cs="Times New Roman"/>
          <w:color w:val="auto"/>
          <w:sz w:val="24"/>
        </w:rPr>
        <w:t>Социальный проект «Вектор помощи» по организации в отдаленных сельских населенных пунктах профилактической работы с семьями, находящимися в трудной жизненной ситуации. Кировская область</w:t>
      </w:r>
    </w:p>
    <w:tbl>
      <w:tblPr>
        <w:tblStyle w:val="2"/>
        <w:tblW w:w="10065" w:type="dxa"/>
        <w:tblLayout w:type="fixed"/>
        <w:tblLook w:val="04A0" w:firstRow="1" w:lastRow="0" w:firstColumn="1" w:lastColumn="0" w:noHBand="0" w:noVBand="1"/>
      </w:tblPr>
      <w:tblGrid>
        <w:gridCol w:w="2410"/>
        <w:gridCol w:w="7655"/>
      </w:tblGrid>
      <w:tr w:rsidR="00A34161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61" w:rsidRPr="002D2567" w:rsidRDefault="00A34161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 реализации 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61" w:rsidRPr="00FC2119" w:rsidRDefault="00A34161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1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Кировская область, </w:t>
            </w:r>
            <w:proofErr w:type="spellStart"/>
            <w:r w:rsidRPr="00FC21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Вятскополянский</w:t>
            </w:r>
            <w:proofErr w:type="spellEnd"/>
            <w:r w:rsidRPr="00FC21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 деревни </w:t>
            </w:r>
            <w:proofErr w:type="spellStart"/>
            <w:r w:rsidRPr="00FC21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Гремячка</w:t>
            </w:r>
            <w:proofErr w:type="spellEnd"/>
            <w:r w:rsidRPr="00FC21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C21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Куршино</w:t>
            </w:r>
            <w:proofErr w:type="spellEnd"/>
            <w:r w:rsidRPr="00FC21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Нижняя Тойма,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C21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ла Слудка и  </w:t>
            </w:r>
            <w:proofErr w:type="gramStart"/>
            <w:r w:rsidRPr="00FC21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Новый</w:t>
            </w:r>
            <w:proofErr w:type="gramEnd"/>
            <w:r w:rsidRPr="00FC21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21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D256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34161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61" w:rsidRPr="002D2567" w:rsidRDefault="00A34161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внедрения 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61" w:rsidRPr="002D2567" w:rsidRDefault="00A34161" w:rsidP="009A0D3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C44D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июля 2022 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ода</w:t>
            </w:r>
            <w:r w:rsidRPr="00C44D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31 декабря 2022 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ода</w:t>
            </w: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34161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61" w:rsidRPr="002D2567" w:rsidRDefault="00A34161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 xml:space="preserve">Связь с проектами и программами Фонда поддержки детей, </w:t>
            </w:r>
            <w:proofErr w:type="gramStart"/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Pr="002D2567">
              <w:rPr>
                <w:rFonts w:ascii="Times New Roman" w:hAnsi="Times New Roman" w:cs="Times New Roman"/>
                <w:sz w:val="28"/>
                <w:szCs w:val="28"/>
              </w:rPr>
              <w:t xml:space="preserve"> в трудной жизненной ситуации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61" w:rsidRPr="00067BE1" w:rsidRDefault="00A34161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B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рамках программы Фонда поддержки детей, находящихся </w:t>
            </w:r>
          </w:p>
          <w:p w:rsidR="00A34161" w:rsidRPr="002D2567" w:rsidRDefault="00A34161" w:rsidP="009A0D34">
            <w:pPr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трудной жизненной ситуации, </w:t>
            </w:r>
            <w:r w:rsidRPr="00067B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67B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ЗаРождение</w:t>
            </w:r>
            <w:proofErr w:type="spellEnd"/>
            <w:r w:rsidRPr="00067B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34161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61" w:rsidRPr="002D2567" w:rsidRDefault="00A34161" w:rsidP="009A0D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Целевые группы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61" w:rsidRPr="00B72A02" w:rsidRDefault="00A34161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2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Семьи с детьми, нуждающиеся в помощи в связи с риском нарушения прав и законных интересов реб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72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72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74;</w:t>
            </w:r>
          </w:p>
          <w:p w:rsidR="00A34161" w:rsidRPr="00B72A02" w:rsidRDefault="00A34161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2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семьи, </w:t>
            </w:r>
            <w:proofErr w:type="gramStart"/>
            <w:r w:rsidRPr="00B72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находящиеся</w:t>
            </w:r>
            <w:proofErr w:type="gramEnd"/>
            <w:r w:rsidRPr="00B72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социально опасном положении, вызванном временным ограничением родителей в родительских правах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72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лишением родителей родительских прав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72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2;</w:t>
            </w:r>
          </w:p>
          <w:p w:rsidR="00A34161" w:rsidRPr="00B72A02" w:rsidRDefault="00A34161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2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из семей с одним из родителей, воспитывающих несовершеннолетних детей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72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72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41;</w:t>
            </w:r>
          </w:p>
          <w:p w:rsidR="00A34161" w:rsidRPr="00B72A02" w:rsidRDefault="00A34161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2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из семей с риском нарушения прав и законных интересов реб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72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нка – 151;</w:t>
            </w:r>
          </w:p>
          <w:p w:rsidR="00A34161" w:rsidRPr="002D2567" w:rsidRDefault="00A34161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2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из семей, находящихся в социально опасном положении, вызванном угрозой лишения родителей родительских прав, угрозой жестокого обращения с реб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72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нком;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2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временным ограничением родителей в родительских правах; лишением родителей родительских прав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72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72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34161" w:rsidRPr="002D2567" w:rsidTr="009A0D34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61" w:rsidRPr="002D2567" w:rsidRDefault="00A34161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Проблемы и потребности целевых групп, решаемые в ходе применения 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61" w:rsidRPr="002D2567" w:rsidRDefault="00A34161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отдаленных населенных пунктах</w:t>
            </w:r>
            <w:r w:rsidRPr="00FC21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Кировск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FC21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област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F1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где почти отсутствуют институты системы профилактики (в наличии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лишь </w:t>
            </w:r>
            <w:r w:rsidRPr="008F1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общественные комиссии по профилактике правонарушений местных администраций), где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имеет место </w:t>
            </w:r>
            <w:r w:rsidRPr="008F1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низк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8F1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уровень обеспеченности социальными услугами,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возникла потребность в </w:t>
            </w:r>
            <w:r w:rsidRPr="008F1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аккумулир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овании</w:t>
            </w:r>
            <w:r w:rsidRPr="008F1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возможност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8F1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местного сообщества для организации помощи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целевым группам</w:t>
            </w:r>
            <w:r w:rsidRPr="008F1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оказания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им </w:t>
            </w:r>
            <w:r w:rsidRPr="008F1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адресной оперативной помощи на местах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34161" w:rsidRPr="002D2567" w:rsidTr="009A0D34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61" w:rsidRPr="002D2567" w:rsidRDefault="00A34161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61" w:rsidRPr="002D2567" w:rsidRDefault="00A34161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системы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профилактики, </w:t>
            </w:r>
            <w:r w:rsidRPr="008F1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социальной помощи и поддержки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целевых групп, </w:t>
            </w:r>
            <w:r w:rsidRPr="008F1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проживающи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8F1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F1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отдаленных населенных пунктах</w:t>
            </w:r>
            <w:r w:rsidRPr="00FC21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Кировск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FC21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област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и,</w:t>
            </w:r>
            <w:r w:rsidRPr="008F1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путем</w:t>
            </w:r>
            <w:r w:rsidRPr="008F1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создани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F1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социально-культурных площадок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F1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гостиных «Доверие»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внедрения</w:t>
            </w:r>
            <w:r w:rsidRPr="00DA15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67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практики адресной помощи через реализацию индивидуальных программ сопровождения «Семья и дети»</w:t>
            </w:r>
            <w:r w:rsidRPr="008F1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34161" w:rsidRPr="002D2567" w:rsidTr="009A0D34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61" w:rsidRPr="002D2567" w:rsidRDefault="00A34161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61" w:rsidRDefault="00A34161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8C73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рганизация деятельности </w:t>
            </w:r>
            <w:r w:rsidRPr="008F1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социально-культурных площадок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F1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гостиных «Доверие».</w:t>
            </w:r>
          </w:p>
          <w:p w:rsidR="00A34161" w:rsidRDefault="00A34161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5357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новых межведомственных подходов к профилактике и реабилитации семейного и детского неблагополучия в рамках деятельности социально-культурных площадок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F1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гостиных «Доверие».</w:t>
            </w:r>
          </w:p>
          <w:p w:rsidR="00A34161" w:rsidRDefault="00A34161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Привлечение общественности и некоммерческих организаций к работе с семьями и детьми.</w:t>
            </w:r>
          </w:p>
          <w:p w:rsidR="00A34161" w:rsidRPr="002D2567" w:rsidRDefault="00A34161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5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Распространение опыта через </w:t>
            </w:r>
            <w:proofErr w:type="spellStart"/>
            <w:r w:rsidRPr="005D05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интернет-ресурсы</w:t>
            </w:r>
            <w:proofErr w:type="spellEnd"/>
            <w:r w:rsidRPr="005D05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СМИ.</w:t>
            </w:r>
          </w:p>
        </w:tc>
      </w:tr>
      <w:tr w:rsidR="00A34161" w:rsidRPr="002D2567" w:rsidTr="009A0D34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61" w:rsidRPr="002D2567" w:rsidRDefault="00A34161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Краткое описание практики (в чем заключается предложение по решению проблем целевых групп)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61" w:rsidRPr="001F4911" w:rsidRDefault="00A34161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49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базе учреждений культуры дер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евень</w:t>
            </w:r>
            <w:r w:rsidRPr="001F49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49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Гремячка</w:t>
            </w:r>
            <w:proofErr w:type="spellEnd"/>
            <w:r w:rsidRPr="001F49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F49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Куршино</w:t>
            </w:r>
            <w:proofErr w:type="spellEnd"/>
            <w:r w:rsidRPr="001F49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Нижняя Тойма,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F49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 </w:t>
            </w:r>
            <w:proofErr w:type="gramStart"/>
            <w:r w:rsidRPr="001F49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Новый</w:t>
            </w:r>
            <w:proofErr w:type="gramEnd"/>
            <w:r w:rsidRPr="001F49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49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Бурец</w:t>
            </w:r>
            <w:proofErr w:type="spellEnd"/>
            <w:r w:rsidRPr="001F49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Слудка </w:t>
            </w:r>
            <w:proofErr w:type="spellStart"/>
            <w:r w:rsidRPr="00FC21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Вятскополянск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Pr="00FC21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C21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Кировск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FC21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област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C21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9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организована работа социально-культурных площадок-гостиных «Доверие»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F49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34161" w:rsidRPr="005A64FD" w:rsidRDefault="00A34161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площадках-гостиных проводятся: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r w:rsidRPr="001F49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культурно-досуговые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1F49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День матери, Новогодняя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F49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</w:p>
          <w:p w:rsidR="00A34161" w:rsidRDefault="00A34161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4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занятия с детьми и их родителями (мастер-классы по изготовлению </w:t>
            </w:r>
            <w:proofErr w:type="spellStart"/>
            <w:r w:rsidRPr="005A64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слаймов</w:t>
            </w:r>
            <w:proofErr w:type="spellEnd"/>
            <w:r w:rsidRPr="005A64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творческие мастер-классы «Открытка маме», «Подарок папе»),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r w:rsidRPr="001F49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развлекательно-игровые программы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F49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34161" w:rsidRDefault="00A34161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76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благотворительны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76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(</w:t>
            </w:r>
            <w:r w:rsidRPr="00F76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«Скоро в школу», «Добрые вещи», «Поделись урожаем», «Новогодний подарок»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F76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адресные акции в помощь отдельной семье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r w:rsidRPr="006E3E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 с родителями</w:t>
            </w:r>
            <w:r w:rsidRPr="006E3E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6E3E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Ответственное</w:t>
            </w:r>
            <w:proofErr w:type="gramEnd"/>
            <w:r w:rsidRPr="006E3E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E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родительство</w:t>
            </w:r>
            <w:proofErr w:type="spellEnd"/>
            <w:r w:rsidRPr="006E3E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F49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Е</w:t>
            </w:r>
            <w:r w:rsidRPr="00144B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женедельно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144B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рганизуется показ кинофильмов, интересных как для родителей, так и для детей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144B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семейн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144B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кинозал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44B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После просмотра фильмов детям и родителям предлагается обсудить, что нового и интересного они узнали, как 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тносятся к поступкам персонажей</w:t>
            </w:r>
            <w:r w:rsidRPr="00144B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A34161" w:rsidRPr="002D2567" w:rsidRDefault="00A34161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2B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целях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повышения </w:t>
            </w:r>
            <w:r w:rsidRPr="00C02B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эффективности взаимодействия органов системы профилактики</w:t>
            </w:r>
            <w:proofErr w:type="gramEnd"/>
            <w:r w:rsidRPr="00C02B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общественности </w:t>
            </w:r>
            <w:r w:rsidRPr="00C02B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 работу «Общественный патруль», цель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C02B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деятельности которого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является</w:t>
            </w:r>
            <w:r w:rsidRPr="00C02B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соблюдение временного режима пребывания детей на улице поселений. Всего создано 5 «Общественных патрулей», деятельность которых регламентирована положением.</w:t>
            </w:r>
          </w:p>
        </w:tc>
      </w:tr>
      <w:tr w:rsidR="00A34161" w:rsidRPr="002D2567" w:rsidTr="009A0D34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61" w:rsidRPr="002D2567" w:rsidRDefault="00A34161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Результаты</w:t>
            </w:r>
          </w:p>
          <w:p w:rsidR="00A34161" w:rsidRPr="002D2567" w:rsidRDefault="00A34161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61" w:rsidRDefault="00A34161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4B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Результатом работы площад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44B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стало улучшение качества общения между детьми и их родителями.</w:t>
            </w:r>
          </w:p>
          <w:p w:rsidR="00A34161" w:rsidRPr="002D2567" w:rsidRDefault="00A34161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09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целях привлечения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целевых групп</w:t>
            </w:r>
            <w:r w:rsidRPr="00C209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деятельность </w:t>
            </w:r>
            <w:r w:rsidRPr="001F49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площадок-гостиных </w:t>
            </w:r>
            <w:r w:rsidRPr="00C209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установлен контакт с семьями 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основе </w:t>
            </w:r>
            <w:r w:rsidRPr="00C209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доброжелательных отношени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C209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специалистов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истемы профилактики и общественности</w:t>
            </w:r>
            <w:r w:rsidRPr="00C209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209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азработаны 33 индивидуальные программы сопровождения семей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для реализации которых аккумулированы</w:t>
            </w:r>
            <w:r w:rsidRPr="00C209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все возможные </w:t>
            </w:r>
            <w:r w:rsidRPr="00C209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ресурсы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34161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61" w:rsidRPr="002D2567" w:rsidRDefault="00A34161" w:rsidP="009A0D34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внедрения 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61" w:rsidRPr="003002EF" w:rsidRDefault="00A34161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00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Организация и открытие </w:t>
            </w:r>
            <w:r w:rsidRPr="001F49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социально-культурных площадок-гостиных «Доверие»</w:t>
            </w:r>
            <w:r w:rsidRPr="00300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A34161" w:rsidRDefault="00A34161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0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круглого</w:t>
            </w:r>
            <w:r w:rsidRPr="00DB1B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стол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по п</w:t>
            </w:r>
            <w:r w:rsidRPr="00DB1B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резентаци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B1B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возможностей оказания социальной помощи семьям с детьми и детям, находящимся в трудной жизненной ситуации, через деятельность социально-культурных площадок-гостиных «Доверие»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34161" w:rsidRDefault="00A34161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Реализация практики</w:t>
            </w:r>
            <w:r w:rsidRPr="00DA15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адресной помощи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целевым группам </w:t>
            </w:r>
            <w:r w:rsidRPr="00DA15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через реализацию индивидуальных программ сопров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ождения «Семья и дети».</w:t>
            </w:r>
          </w:p>
          <w:p w:rsidR="00A34161" w:rsidRDefault="00A34161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A77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Закрепление за семьями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 целевой группы</w:t>
            </w:r>
            <w:r w:rsidRPr="00A77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общественных наставников из числа общественных лидеров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34161" w:rsidRPr="003002EF" w:rsidRDefault="00A34161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00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Информационно-методическое обеспечение</w:t>
            </w:r>
            <w:r w:rsidRPr="001F49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деятельности </w:t>
            </w:r>
            <w:r w:rsidRPr="001F49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социально-культурных площадок-гостиных «Доверие»</w:t>
            </w:r>
            <w:r w:rsidRPr="00300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A34161" w:rsidRDefault="00A34161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300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деятельности </w:t>
            </w:r>
            <w:r w:rsidRPr="001F49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социально-культурных площадок-гостиных «Доверие»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300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реализации практики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«Семья и дети».</w:t>
            </w:r>
          </w:p>
          <w:p w:rsidR="00A34161" w:rsidRPr="002D2567" w:rsidRDefault="00A34161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7. Освещение результатов работы </w:t>
            </w:r>
            <w:r w:rsidRPr="001F49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социально-культурных площадок-гостиных «Доверие»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СМИ</w:t>
            </w:r>
            <w:r w:rsidRPr="005D05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5D05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через </w:t>
            </w:r>
            <w:proofErr w:type="spellStart"/>
            <w:r w:rsidRPr="005D05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интернет-ресурсы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34161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61" w:rsidRPr="002D2567" w:rsidRDefault="00A34161" w:rsidP="009A0D34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Социальная значимость и обоснованность (преимущества, польза) 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61" w:rsidRPr="00DE311A" w:rsidRDefault="00A34161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Деятельность </w:t>
            </w:r>
            <w:r w:rsidRPr="001F49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социально-культурных площадок-гостиных «Доверие»</w:t>
            </w:r>
            <w:r w:rsidRPr="00DE3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позволила: </w:t>
            </w:r>
          </w:p>
          <w:p w:rsidR="00A34161" w:rsidRDefault="00A34161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Pr="00F847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бнов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ить</w:t>
            </w:r>
            <w:r w:rsidRPr="00F847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баз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847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целевым группам, проживающим в отдаленных поселениях</w:t>
            </w:r>
            <w:r w:rsidRPr="001F49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21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Вятскополянск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Pr="00FC21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C21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Кировск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FC21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област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и, и оказать</w:t>
            </w:r>
            <w:r w:rsidRPr="00F847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необходим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Pr="00F847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адресн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ую помощь</w:t>
            </w:r>
            <w:r w:rsidRPr="00F847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мер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ы </w:t>
            </w:r>
            <w:r w:rsidRPr="00F847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социальной поддержки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34161" w:rsidRDefault="00A34161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сф</w:t>
            </w:r>
            <w:r w:rsidRPr="00F847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ормир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овать</w:t>
            </w:r>
            <w:r w:rsidRPr="00F847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практики общественного участия в помощи семьям через привлечение волонт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847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ров, благотворителей, органов местного самоуправления, благодаря чему нуждающиеся семьи с детьми получили материальную поддержку, возможности проведения интересного и полезного семейного досуга, развития детей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34161" w:rsidRPr="00DE311A" w:rsidRDefault="00A34161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847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активизирова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ть</w:t>
            </w:r>
            <w:r w:rsidRPr="00F847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повышению </w:t>
            </w: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уровня профессиональной компетентности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847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 системы профилактики</w:t>
            </w:r>
            <w:r w:rsidRPr="00F847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что положительно ска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залось</w:t>
            </w:r>
            <w:r w:rsidRPr="00F847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повышении качества социальног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сопровождения семей с детьми</w:t>
            </w:r>
            <w:r w:rsidRPr="00DE3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A34161" w:rsidRPr="00DE311A" w:rsidRDefault="00A34161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E3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повысить уровень компетенции родителей в вопросах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воспитания</w:t>
            </w:r>
            <w:r w:rsidRPr="00DE3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ребенка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34161" w:rsidRPr="002D2567" w:rsidRDefault="00A34161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Эффективность практики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«Семья и дети» </w:t>
            </w:r>
            <w:r w:rsidRPr="00DE3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обусловлена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необходимостью </w:t>
            </w:r>
            <w:r w:rsidRPr="00DE3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своевременн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DE3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выявлени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DE3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семей, нуждающи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DE3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ся в помощи; оказани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DE3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помощи по месту проживания семей с детьми, адресно; осуществлени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DE3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постоянного мониторинга изменений ситуации в семье.</w:t>
            </w:r>
          </w:p>
        </w:tc>
      </w:tr>
      <w:tr w:rsidR="00A34161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61" w:rsidRPr="002D2567" w:rsidRDefault="00A34161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Ресурсное </w:t>
            </w:r>
            <w:r w:rsidRPr="002D256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обеспечение практики</w:t>
            </w:r>
          </w:p>
          <w:p w:rsidR="00A34161" w:rsidRPr="002D2567" w:rsidRDefault="00A34161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61" w:rsidRDefault="00A34161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2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Разработаны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32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432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по вопросам взаимодействия в рамках работы общественного патруля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72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34161" w:rsidRDefault="00A34161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A66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буклетов с информацией об ограничении детей, связанных с их безопасностью, о Детском телефоне доверия, об ответственности родителей за воспитание и развитие детей, о необходимости создания благоприятного психологического климата в семье, о профилактике преступлений среди детей.</w:t>
            </w:r>
          </w:p>
          <w:p w:rsidR="00A34161" w:rsidRPr="002D2567" w:rsidRDefault="00A34161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209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одготовлены  помещения для организации работы</w:t>
            </w:r>
            <w:r w:rsidRPr="001F49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социально-культурных площадок-гостиных </w:t>
            </w:r>
            <w:r w:rsidRPr="00C209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«Довери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е»</w:t>
            </w:r>
            <w:r w:rsidRPr="00C209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приобретены игровые программы, игры, оборудование для предоставления качественных услуг (досуговых, игровых, познавательных, развивающих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A34161" w:rsidRPr="002D2567" w:rsidTr="009A0D34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61" w:rsidRPr="002D2567" w:rsidRDefault="00A34161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Организации-партнеры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61" w:rsidRDefault="00A34161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1D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Вятскополянская</w:t>
            </w:r>
            <w:proofErr w:type="spellEnd"/>
            <w:r w:rsidRPr="00AA1D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районная организация Кировской областной организации Всероссийской общественной организации ветеранов (пенсионеров) войны, труда, Вооруж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A1D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нных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 и правоохранительных органов.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AA1D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Вятскополянская</w:t>
            </w:r>
            <w:proofErr w:type="spellEnd"/>
            <w:r w:rsidRPr="00AA1D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районная обществ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енная организация «Союз женщин».</w:t>
            </w:r>
          </w:p>
          <w:p w:rsidR="00A34161" w:rsidRPr="00AA1DF6" w:rsidRDefault="00A34161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4161" w:rsidRPr="00AA1DF6" w:rsidRDefault="00A34161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1D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«Русь»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A1D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proofErr w:type="gramStart"/>
            <w:r w:rsidRPr="00AA1D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Новый</w:t>
            </w:r>
            <w:proofErr w:type="gramEnd"/>
            <w:r w:rsidRPr="00AA1D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1D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A34161" w:rsidRPr="002D2567" w:rsidRDefault="00A34161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1D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СПК «Союз»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34161" w:rsidRPr="002D2567" w:rsidTr="009A0D34">
        <w:trPr>
          <w:trHeight w:val="59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61" w:rsidRPr="002D2567" w:rsidRDefault="00A34161" w:rsidP="009A0D3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Сведения об организации</w:t>
            </w:r>
          </w:p>
        </w:tc>
      </w:tr>
      <w:tr w:rsidR="00A34161" w:rsidRPr="002D2567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61" w:rsidRPr="002D2567" w:rsidRDefault="00A34161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Название организации, включая ее статус (опорная площадка, профессиональная </w:t>
            </w:r>
            <w:proofErr w:type="spellStart"/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стажировочная</w:t>
            </w:r>
            <w:proofErr w:type="spellEnd"/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площадка, ресурсный центр)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61" w:rsidRPr="002D2567" w:rsidRDefault="00A34161" w:rsidP="009A0D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9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F3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дминистрация </w:t>
            </w:r>
            <w:proofErr w:type="spellStart"/>
            <w:r w:rsidRPr="007F3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Вятскополянского</w:t>
            </w:r>
            <w:proofErr w:type="spellEnd"/>
            <w:r w:rsidRPr="007F3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Кировской области </w:t>
            </w:r>
          </w:p>
        </w:tc>
      </w:tr>
      <w:tr w:rsidR="00A34161" w:rsidRPr="002D2567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61" w:rsidRPr="002D2567" w:rsidRDefault="00A34161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Адрес (юридический / фактический)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61" w:rsidRPr="007F3EF2" w:rsidRDefault="00A34161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612964, </w:t>
            </w:r>
            <w:r w:rsidRPr="00D539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Кировская область, </w:t>
            </w:r>
            <w:proofErr w:type="spellStart"/>
            <w:r w:rsidRPr="00D539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Вятскополянский</w:t>
            </w:r>
            <w:proofErr w:type="spellEnd"/>
            <w:r w:rsidRPr="00D539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 ул. Гагарина, д. 28</w:t>
            </w:r>
          </w:p>
        </w:tc>
      </w:tr>
      <w:tr w:rsidR="00A34161" w:rsidRPr="002D2567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61" w:rsidRPr="002D2567" w:rsidRDefault="00A34161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61" w:rsidRPr="007F3EF2" w:rsidRDefault="00A34161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Пелевина Виктория Валериевна </w:t>
            </w:r>
          </w:p>
        </w:tc>
      </w:tr>
      <w:tr w:rsidR="00A34161" w:rsidRPr="002D2567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61" w:rsidRPr="002D2567" w:rsidRDefault="00A34161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61" w:rsidRDefault="00A34161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Федорова Татьяна Николаевна </w:t>
            </w:r>
          </w:p>
          <w:p w:rsidR="00A34161" w:rsidRPr="00410E41" w:rsidRDefault="00A34161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3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3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529-45-10</w:t>
            </w:r>
          </w:p>
        </w:tc>
      </w:tr>
      <w:tr w:rsidR="00A34161" w:rsidRPr="002D2567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61" w:rsidRPr="002D2567" w:rsidRDefault="00A34161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61" w:rsidRPr="007F3EF2" w:rsidRDefault="00A34161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BF1EB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admvyatp@yandex.ru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34161" w:rsidRPr="002D2567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61" w:rsidRPr="002D2567" w:rsidRDefault="00A34161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61" w:rsidRPr="002D2567" w:rsidRDefault="00A34161" w:rsidP="009A0D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BF1EB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https://www.vpolyansky-rayon.ru/</w:t>
              </w:r>
            </w:hyperlink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27652" w:rsidRDefault="00627652"/>
    <w:sectPr w:rsidR="00627652" w:rsidSect="00A341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61"/>
    <w:rsid w:val="00627652"/>
    <w:rsid w:val="00A34161"/>
    <w:rsid w:val="00E7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61"/>
  </w:style>
  <w:style w:type="paragraph" w:styleId="1">
    <w:name w:val="heading 1"/>
    <w:basedOn w:val="a"/>
    <w:next w:val="a"/>
    <w:link w:val="10"/>
    <w:uiPriority w:val="9"/>
    <w:qFormat/>
    <w:rsid w:val="00E71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A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table" w:customStyle="1" w:styleId="2">
    <w:name w:val="Сетка таблицы2"/>
    <w:basedOn w:val="a1"/>
    <w:uiPriority w:val="39"/>
    <w:rsid w:val="00A34161"/>
    <w:pPr>
      <w:spacing w:after="0" w:line="240" w:lineRule="auto"/>
    </w:pPr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A34161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61"/>
  </w:style>
  <w:style w:type="paragraph" w:styleId="1">
    <w:name w:val="heading 1"/>
    <w:basedOn w:val="a"/>
    <w:next w:val="a"/>
    <w:link w:val="10"/>
    <w:uiPriority w:val="9"/>
    <w:qFormat/>
    <w:rsid w:val="00E71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A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table" w:customStyle="1" w:styleId="2">
    <w:name w:val="Сетка таблицы2"/>
    <w:basedOn w:val="a1"/>
    <w:uiPriority w:val="39"/>
    <w:rsid w:val="00A34161"/>
    <w:pPr>
      <w:spacing w:after="0" w:line="240" w:lineRule="auto"/>
    </w:pPr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A34161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vpolyansky-rayon.ru/" TargetMode="External"/><Relationship Id="rId5" Type="http://schemas.openxmlformats.org/officeDocument/2006/relationships/hyperlink" Target="mailto:admvyat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Артамонова Екатерина Вадимовна</dc:creator>
  <cp:lastModifiedBy>Артамонова Екатерина Вадимовна</cp:lastModifiedBy>
  <cp:revision>1</cp:revision>
  <dcterms:created xsi:type="dcterms:W3CDTF">2024-02-14T09:48:00Z</dcterms:created>
  <dcterms:modified xsi:type="dcterms:W3CDTF">2024-02-14T09:49:00Z</dcterms:modified>
</cp:coreProperties>
</file>