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CF" w:rsidRPr="00C17FCF" w:rsidRDefault="00C17FCF" w:rsidP="00C17FCF">
      <w:pPr>
        <w:pStyle w:val="2"/>
        <w:rPr>
          <w:rStyle w:val="10"/>
          <w:rFonts w:asciiTheme="minorHAnsi" w:hAnsiTheme="minorHAnsi" w:cstheme="minorHAnsi"/>
          <w:color w:val="auto"/>
          <w:sz w:val="24"/>
        </w:rPr>
      </w:pPr>
      <w:bookmarkStart w:id="0" w:name="_GoBack"/>
      <w:r w:rsidRPr="00C17FCF">
        <w:rPr>
          <w:rStyle w:val="10"/>
          <w:rFonts w:asciiTheme="minorHAnsi" w:hAnsiTheme="minorHAnsi" w:cstheme="minorHAnsi"/>
          <w:color w:val="auto"/>
          <w:sz w:val="24"/>
        </w:rPr>
        <w:t>Проект «Семейный компас» по профилактике социального сиротства. Республика Башкортостан</w:t>
      </w:r>
    </w:p>
    <w:bookmarkEnd w:id="0"/>
    <w:p w:rsidR="00C17FCF" w:rsidRPr="00C17FCF" w:rsidRDefault="00C17FCF" w:rsidP="00C17FCF"/>
    <w:tbl>
      <w:tblPr>
        <w:tblStyle w:val="21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1100"/>
        <w:gridCol w:w="6555"/>
      </w:tblGrid>
      <w:tr w:rsidR="00C17FCF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26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 Башкортостан, городской округ город Уфа.</w:t>
            </w:r>
          </w:p>
        </w:tc>
      </w:tr>
      <w:tr w:rsidR="00C17FCF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85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C17FCF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2D2567" w:rsidRDefault="00C17FCF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D769D5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6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C17FCF" w:rsidRPr="00DD6F0C" w:rsidRDefault="00C17FCF" w:rsidP="009A0D34">
            <w:pPr>
              <w:rPr>
                <w:rFonts w:ascii="Times New Roman" w:eastAsiaTheme="minorHAnsi" w:hAnsi="Times New Roman" w:cs="Times New Roman"/>
                <w:i/>
                <w:color w:val="FF0000"/>
                <w:sz w:val="28"/>
                <w:szCs w:val="28"/>
              </w:rPr>
            </w:pPr>
            <w:r w:rsidRPr="00D76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D76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D769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17FCF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04257C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 с детьми, находящиеся в социально опасном положении и иной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237.</w:t>
            </w:r>
          </w:p>
          <w:p w:rsidR="00C17FC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из семей, находящихся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17FCF" w:rsidRPr="0004257C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               прав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196;</w:t>
            </w:r>
          </w:p>
          <w:p w:rsidR="00C17FC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стадии подготовки родителей к восстановлению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58.</w:t>
            </w:r>
          </w:p>
          <w:p w:rsidR="00C17FC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 из семей, где родители восстановлены в родительских правах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179.</w:t>
            </w:r>
          </w:p>
          <w:p w:rsidR="00C17FCF" w:rsidRPr="0004257C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ети, составляющие ближайшее социальное окружение детей целевой группы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500.</w:t>
            </w:r>
          </w:p>
          <w:p w:rsidR="00C17FC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Родители, находящиеся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прав, – 125.</w:t>
            </w:r>
          </w:p>
          <w:p w:rsidR="00C17FC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Р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одители, находящиеся на стадии подготовки к восстановлению в родительских правах,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34.</w:t>
            </w:r>
          </w:p>
          <w:p w:rsidR="00C17FCF" w:rsidRPr="004023C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Р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одители, восстановленные в родительских правах,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134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человека</w:t>
            </w:r>
            <w:r w:rsidRPr="00042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17FCF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Проблемы и потребности целевых групп, </w:t>
            </w: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решаемые в ходе применения практики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32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Основными проблемами целевых групп, решаемы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EF32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ходе применения практики, являются: лишение родителей родительских прав; угрозы жестокого обращения с ребенком; </w:t>
            </w:r>
            <w:r w:rsidRPr="00EF32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совершение несовершеннолетним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F32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правонарушений; конфликтные отношения в семьях, находящихся в социально опасном положении.</w:t>
            </w:r>
          </w:p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Имеются потребности целевых групп в сохранении </w:t>
            </w:r>
            <w:r w:rsidRPr="00E13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восстановле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</w:t>
            </w:r>
            <w:r w:rsidRPr="00E13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семейного окружения ребенка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п</w:t>
            </w:r>
            <w:r w:rsidRPr="00567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ривлечени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67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работе с семьями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наставников, волонтеров.</w:t>
            </w:r>
          </w:p>
        </w:tc>
      </w:tr>
      <w:tr w:rsidR="00C17FCF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практики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3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и развитие эффективных механизмов межведомственного взаимодействия в решении проблемы соц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иального сиротства, сохранения </w:t>
            </w:r>
            <w:r w:rsidRPr="00E135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восстановления семейного окружения ребенка.</w:t>
            </w:r>
          </w:p>
        </w:tc>
      </w:tr>
      <w:tr w:rsidR="00C17FCF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436A8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Развитие инфраструктуры социальной помощи детям в ситуациях риска нарушения прав и законных интересов детей, угрозы жестокого обращения с детьми.</w:t>
            </w:r>
          </w:p>
          <w:p w:rsidR="00C17FCF" w:rsidRPr="00436A8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Внедрение инновационных социальных практик, методов и технологий, способствующих выходу семей из трудной жизненной ситуации, которая может повлечь за собой временное ограничение в родительских правах или лишение родительских прав, а также на стадии подготовки к восстановлению родительских прав или непосредственно после восстановления прав родителей на воспитание детей.</w:t>
            </w:r>
          </w:p>
          <w:p w:rsidR="00C17FCF" w:rsidRPr="00436A8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Привлечение к работе с семьями российских негосударственных некоммерческих организаций, направленных на сохранение и восстановление семейного окружения детей.</w:t>
            </w:r>
          </w:p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36A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Развитие и поддержка добровольческих инициатив.</w:t>
            </w:r>
          </w:p>
        </w:tc>
      </w:tr>
      <w:tr w:rsidR="00C17FCF" w:rsidRPr="002D2567" w:rsidTr="009A0D34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CF" w:rsidRPr="0027431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еятельность по оказанию комплексной помощи (социальной, психологической, педагогиче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ской, юридической, медицинской и иной) 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содействи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выходу целевых групп из 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 опасно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иной трудной жизненной ситуации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основано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межведомственно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17FCF" w:rsidRPr="0027431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 следующие те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хнологии и формы работы: </w:t>
            </w:r>
          </w:p>
          <w:p w:rsidR="00C17FCF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кейс-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со случаем);</w:t>
            </w:r>
          </w:p>
          <w:p w:rsidR="00C17FCF" w:rsidRPr="0027431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межведомственное социальное и информационное </w:t>
            </w:r>
            <w:proofErr w:type="spellStart"/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патронирование</w:t>
            </w:r>
            <w:proofErr w:type="spellEnd"/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7FCF" w:rsidRPr="0027431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консультационные пункты при органах опеки и попечительств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7FCF" w:rsidRPr="0042580A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буткемпы</w:t>
            </w:r>
            <w:proofErr w:type="spellEnd"/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(комплекс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проводимых выездной бригадой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доступной для жителей территории)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25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выездов педагогами-психологами и социальными педагогами были проведены индивидуальные консультации для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5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различные темы. </w:t>
            </w:r>
          </w:p>
          <w:p w:rsidR="00C17FCF" w:rsidRPr="0042580A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родителей: детско-родительские отношения, развитие и укрепление внутрисемейных связей, самостоятельное </w:t>
            </w:r>
            <w:r w:rsidRPr="00425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конструктивное разрешение возникающих проблем, порядок оформления социальных пособий, правовое просвещение, права ребенка, профилактика вредных привычек и пропаганда здорового образа жизни, пожарная безопасность. </w:t>
            </w:r>
          </w:p>
          <w:p w:rsidR="00C17FCF" w:rsidRPr="0027431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5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детей консультации были проведены на темы по формированию ответственного поведения к своему здоровью, пропаганде здорового образа жизни, профилактик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5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правонарушений, правовой ответственности несовершеннолетних, профилактик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5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дорожно-транспортного тра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вматизма, пожарной безопасности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7FCF" w:rsidRPr="0027431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территориальные междисциплинарные консилиумы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3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консилиумах рассматривались случаи необходимости защиты прав и законных интересов 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есовершеннолетних, потребности </w:t>
            </w:r>
            <w:r w:rsidRPr="0043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уходе и заботе, которые </w:t>
            </w:r>
            <w:r w:rsidRPr="0043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удовлетворяются должным образом,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0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результате чего возникает риск нарушения здоровья и развития ребенка, а также                       при угрозе жестокого обращения с детьми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7FCF" w:rsidRPr="0066426B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4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индивидуальные инжиниринговые сессии. В рамках инжиниринговых сессий педагогами-психологами, учителями-дефектологами, учителями-логопедами проводилась индивидуальная работа с родителями по повышению компетентности по возрастным особенностям детей, проблемам воспитания, развития и образования детей, внутрисемейным конфликтам, по профилактике зависимостей и жестокого обращения в семье;</w:t>
            </w:r>
          </w:p>
          <w:p w:rsidR="00C17FCF" w:rsidRPr="0027431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4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64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зайльцуг</w:t>
            </w:r>
            <w:proofErr w:type="spellEnd"/>
            <w:r w:rsidRPr="006642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-классы (коррекционно-развивающие занятия узких специалистов по психолого-педагогической проблематике). Занятия были направлены на гармонизацию детско-родительских отношений, развитие эмоционального самоконтроля, на расширение и активизацию словарного запаса детей, преодоление речевых и психофизических нарушений, нормализацию поведения;</w:t>
            </w:r>
          </w:p>
          <w:p w:rsidR="00C17FCF" w:rsidRPr="0027431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клуб родительского роста «Совет»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деятельность которого направлена на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уровня родительских компетенций по органи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зации семейного быта, укреплению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детско-родительских отношений, создани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семейных традиций, сплочени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семьи;</w:t>
            </w:r>
          </w:p>
          <w:p w:rsidR="00C17FCF" w:rsidRPr="0027431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киноклуб для детей;</w:t>
            </w:r>
          </w:p>
          <w:p w:rsidR="00C17FCF" w:rsidRPr="00EF560A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реализация просветительск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психолого-педагогическ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«Школа любящих родителей»,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2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«Я владею собой».</w:t>
            </w:r>
          </w:p>
        </w:tc>
      </w:tr>
      <w:tr w:rsidR="00C17FCF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CF" w:rsidRPr="002D2567" w:rsidRDefault="00C17FCF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C17FCF" w:rsidRPr="002D2567" w:rsidRDefault="00C17FCF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BF4D69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итогам проекта 147 детей устроены в замещающие семьи и организации для детей сирот и детей, оставшихся без попечения родителей, 227 ребенка возвращены в кровные семьи.</w:t>
            </w:r>
            <w:proofErr w:type="gramEnd"/>
          </w:p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70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 позволил объединить усилия специалистов учреждений и организаций, осуществляющих деятельность по профилактике социального сиротства, сохранению и восстановлению семейного окружения детей, социально ответственного бизнеса и социально активных граждан – добровольцев через обучающие семинары, педагогический десант и другие мероприятия по обмену опытом, массовые и адресные социально значимые акции и мероприятия.</w:t>
            </w:r>
          </w:p>
        </w:tc>
      </w:tr>
      <w:tr w:rsidR="00C17FCF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внедрения практики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9218D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рабочей группы по управлению проектом.</w:t>
            </w:r>
          </w:p>
          <w:p w:rsidR="00C17FCF" w:rsidRPr="009218D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целевых групп проекта.</w:t>
            </w:r>
          </w:p>
          <w:p w:rsidR="00C17FCF" w:rsidRPr="009218D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мероприятий проекта </w:t>
            </w:r>
            <w:r w:rsidRPr="009218D0">
              <w:rPr>
                <w:rFonts w:ascii="Times New Roman" w:hAnsi="Times New Roman" w:cs="Times New Roman"/>
                <w:sz w:val="28"/>
                <w:szCs w:val="28"/>
              </w:rPr>
              <w:t>«Семейный компас»</w:t>
            </w:r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17FCF" w:rsidRPr="009218D0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Мониторинг реализации проекта.</w:t>
            </w:r>
            <w:r>
              <w:t xml:space="preserve"> </w:t>
            </w:r>
            <w:r w:rsidRPr="00FE5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мониторинга реализации проекта была разработана анкета, в которой 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отмечали</w:t>
            </w:r>
            <w:r w:rsidRPr="00FE5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наименование запомнившихся мероприятий и оценивали</w:t>
            </w:r>
            <w:proofErr w:type="gramEnd"/>
            <w:r w:rsidRPr="00FE5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их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E50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балльной системе.</w:t>
            </w:r>
          </w:p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Освещение результатов реализации проекта </w:t>
            </w:r>
            <w:r w:rsidRPr="009218D0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«Семейный компас» </w:t>
            </w:r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СМИ,</w:t>
            </w:r>
            <w:r w:rsidRPr="009218D0">
              <w:t xml:space="preserve"> </w:t>
            </w:r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9218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17FCF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7413B7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проекта способствовала коррекции поведения родителей и детей в сложных, стрессовых ситуациях.</w:t>
            </w:r>
            <w:r>
              <w:t xml:space="preserve"> </w:t>
            </w:r>
            <w:r w:rsidRPr="00D50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семейно-ориентированного подхода выстраивалась работа по восстановлению детско-родительских отношений (взаимодействие детей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находящихся в учреждениях,</w:t>
            </w:r>
            <w:r w:rsidRPr="00D50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родителями, сопровождение их встреч), оказание содействия родителям по возврату детей в кровную семью.</w:t>
            </w:r>
          </w:p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1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позволил сформировать практики общественно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41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помощи несовершеннолетним. Например, благодаря привлечению индивидуальных предпринимателей, НКО, благотворительных фондов, готовых оказать финансовую помощь, 127 детей школьного возраста из 64 семей  получили помощь по сбору необходимых школьно-письменных принадлежностей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также приобретены</w:t>
            </w:r>
            <w:r>
              <w:t xml:space="preserve"> </w:t>
            </w:r>
            <w:r w:rsidRPr="003A2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детские вещи и обувь, игрушки, средства гигиены, детское питание,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организована </w:t>
            </w:r>
            <w:r w:rsidRPr="003A2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доставка дров</w:t>
            </w:r>
            <w:r w:rsidRPr="007413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17FCF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Ресурсное обеспечение практики</w:t>
            </w:r>
          </w:p>
          <w:p w:rsidR="00C17FCF" w:rsidRPr="002D2567" w:rsidRDefault="00C17FCF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E33F6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Разработаны:</w:t>
            </w:r>
          </w:p>
          <w:p w:rsidR="00C17FCF" w:rsidRPr="00E33F6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анкета для мониторинга реализации комплекса мероприятий проекта «Семейный компас»;</w:t>
            </w:r>
          </w:p>
          <w:p w:rsidR="00C17FCF" w:rsidRPr="00E33F6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программа «Школа любящих родителей»</w:t>
            </w:r>
          </w:p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3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программа по </w:t>
            </w:r>
            <w:proofErr w:type="spellStart"/>
            <w:r w:rsidRPr="00E3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E33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«Я владею собой».</w:t>
            </w:r>
          </w:p>
        </w:tc>
      </w:tr>
      <w:tr w:rsidR="00C17FCF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Организации-партнеры 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057EDD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Башкирское республиканское отделение Общероссийского общественного благотворительного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детский фонд».</w:t>
            </w:r>
          </w:p>
          <w:p w:rsidR="00C17FCF" w:rsidRPr="00057EDD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057EDD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 w:rsidRPr="0005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5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готворительный фонд «С любовью».</w:t>
            </w:r>
          </w:p>
          <w:p w:rsidR="00C17FCF" w:rsidRPr="00057EDD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057EDD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Общественный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5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лаготворите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льный проект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17FCF" w:rsidRPr="00057EDD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Башкортостанская</w:t>
            </w:r>
            <w:proofErr w:type="spellEnd"/>
            <w:r w:rsidRPr="00057E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региональная общественная организация содействия в </w:t>
            </w: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решении социальных проблем семьи и человека «Право на жизнь»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Уфа.</w:t>
            </w: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Благотворительный фонд поддержки экологических и социальных инициатив «Зеленая планета» Республики Башкортостан.</w:t>
            </w: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Автономная некоммерческая организация по оказанию </w:t>
            </w:r>
            <w:proofErr w:type="gramStart"/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благотворительной</w:t>
            </w:r>
            <w:proofErr w:type="gramEnd"/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социальной помощи «НИКА».</w:t>
            </w: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gramStart"/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ИР-ИС</w:t>
            </w:r>
            <w:proofErr w:type="gramEnd"/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Акционерное общество «</w:t>
            </w:r>
            <w:proofErr w:type="spellStart"/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Башкиравтодор</w:t>
            </w:r>
            <w:proofErr w:type="spellEnd"/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роектно-изыскательный институт автомобильных дорог и сооружений транспорта </w:t>
            </w:r>
            <w:r w:rsidRPr="00B06A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Башкирдортранспроект</w:t>
            </w:r>
            <w:proofErr w:type="spellEnd"/>
            <w:r w:rsidRPr="00B06A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«Группа компаний Центр»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Уфа.</w:t>
            </w: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Некоммерческая организация «Нотариальная палата Республики Башкортостан».</w:t>
            </w:r>
          </w:p>
          <w:p w:rsidR="00C17FCF" w:rsidRPr="00440F74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Нотариальная контора нотариуса г. Уфы </w:t>
            </w:r>
            <w:proofErr w:type="spellStart"/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Хомячука</w:t>
            </w:r>
            <w:proofErr w:type="spellEnd"/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F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</w:tr>
      <w:tr w:rsidR="00C17FCF" w:rsidRPr="002D2567" w:rsidTr="009A0D34">
        <w:trPr>
          <w:trHeight w:val="59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E8539B" w:rsidRDefault="00C17FCF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317B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Сведения об организации</w:t>
            </w:r>
          </w:p>
        </w:tc>
      </w:tr>
      <w:tr w:rsidR="00C17FCF" w:rsidRPr="002D2567" w:rsidTr="00C17FCF">
        <w:trPr>
          <w:trHeight w:val="59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CF" w:rsidRPr="009C7CB1" w:rsidRDefault="00C17FCF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C17FCF" w:rsidRPr="00DD6F0C" w:rsidRDefault="00C17FCF" w:rsidP="009A0D3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C7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9C7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9C7C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округа город Уфа Республики Башкортостан</w:t>
            </w:r>
          </w:p>
        </w:tc>
      </w:tr>
      <w:tr w:rsidR="00C17FCF" w:rsidRPr="002D2567" w:rsidTr="00C17FCF">
        <w:trPr>
          <w:trHeight w:val="59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2D2567" w:rsidRDefault="00C17FCF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CF" w:rsidRPr="00DD6F0C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7A0E">
              <w:rPr>
                <w:rFonts w:ascii="Times New Roman" w:hAnsi="Times New Roman" w:cs="Times New Roman"/>
                <w:sz w:val="28"/>
                <w:szCs w:val="28"/>
              </w:rPr>
              <w:t xml:space="preserve">450098, г. Уфа, Проспект Октября,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F7A0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17FCF" w:rsidRPr="002D2567" w:rsidTr="00C17FCF">
        <w:trPr>
          <w:trHeight w:val="59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CF" w:rsidRPr="002D2567" w:rsidRDefault="00C17FCF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2F7A0E" w:rsidRDefault="00C17FCF" w:rsidP="009A0D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A0E">
              <w:rPr>
                <w:rFonts w:ascii="Times New Roman" w:hAnsi="Times New Roman"/>
                <w:sz w:val="28"/>
                <w:szCs w:val="28"/>
              </w:rPr>
              <w:t>Мавлиев</w:t>
            </w:r>
            <w:proofErr w:type="spellEnd"/>
            <w:r w:rsidRPr="002F7A0E">
              <w:rPr>
                <w:rFonts w:ascii="Times New Roman" w:hAnsi="Times New Roman"/>
                <w:sz w:val="28"/>
                <w:szCs w:val="28"/>
              </w:rPr>
              <w:t xml:space="preserve"> Ратмир </w:t>
            </w:r>
            <w:proofErr w:type="spellStart"/>
            <w:r w:rsidRPr="002F7A0E">
              <w:rPr>
                <w:rFonts w:ascii="Times New Roman" w:hAnsi="Times New Roman"/>
                <w:sz w:val="28"/>
                <w:szCs w:val="28"/>
              </w:rPr>
              <w:t>Рафилович</w:t>
            </w:r>
            <w:proofErr w:type="spellEnd"/>
            <w:r w:rsidRPr="002F7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7FCF" w:rsidRPr="002F7A0E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17FCF" w:rsidRPr="002D2567" w:rsidTr="00C17FCF">
        <w:trPr>
          <w:trHeight w:val="59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CF" w:rsidRPr="002D2567" w:rsidRDefault="00C17FCF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C17FCF" w:rsidRPr="002D2567" w:rsidRDefault="00C17FCF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2F7A0E" w:rsidRDefault="00C17FCF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7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Чунарев</w:t>
            </w:r>
            <w:proofErr w:type="spellEnd"/>
            <w:r w:rsidRPr="002F7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Виталий Александрович, начальник отдела профилактики социального сиротства Управления по опеке и попечительству Администрации </w:t>
            </w:r>
            <w:r w:rsidRPr="002F7A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город Уфа Республики Башкортостан </w:t>
            </w:r>
          </w:p>
          <w:p w:rsidR="00C17FCF" w:rsidRPr="002F7A0E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7A0E">
              <w:rPr>
                <w:rFonts w:ascii="Times New Roman" w:hAnsi="Times New Roman"/>
                <w:sz w:val="28"/>
                <w:szCs w:val="28"/>
              </w:rPr>
              <w:t>8 (347) 279-91-80</w:t>
            </w:r>
          </w:p>
        </w:tc>
      </w:tr>
      <w:tr w:rsidR="00C17FCF" w:rsidRPr="002D2567" w:rsidTr="00C17FCF">
        <w:trPr>
          <w:trHeight w:val="59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2D2567" w:rsidRDefault="00C17FCF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9C7CB1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Pr="009C7CB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chunarevva</w:t>
              </w:r>
              <w:r w:rsidRPr="009C7CB1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9C7CB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ufacity</w:t>
              </w:r>
              <w:r w:rsidRPr="009C7CB1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9C7CB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7FCF" w:rsidRPr="002D2567" w:rsidTr="00C17FCF">
        <w:trPr>
          <w:trHeight w:val="47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2D2567" w:rsidRDefault="00C17FCF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CF" w:rsidRPr="00EB2D8F" w:rsidRDefault="00C17FCF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E504A1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https://ufacity.info/</w:t>
              </w:r>
            </w:hyperlink>
          </w:p>
        </w:tc>
      </w:tr>
    </w:tbl>
    <w:p w:rsidR="00627652" w:rsidRDefault="00627652"/>
    <w:sectPr w:rsidR="006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CF"/>
    <w:rsid w:val="00627652"/>
    <w:rsid w:val="00C17FCF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CF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C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FCF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C17FCF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C17FCF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CF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C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FCF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table" w:customStyle="1" w:styleId="21">
    <w:name w:val="Сетка таблицы2"/>
    <w:basedOn w:val="a1"/>
    <w:uiPriority w:val="39"/>
    <w:rsid w:val="00C17FCF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C17FC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facity.info/" TargetMode="External"/><Relationship Id="rId5" Type="http://schemas.openxmlformats.org/officeDocument/2006/relationships/hyperlink" Target="mailto:chunarevva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2024-02-14T10:53:00Z</dcterms:created>
  <dcterms:modified xsi:type="dcterms:W3CDTF">2024-02-14T10:55:00Z</dcterms:modified>
</cp:coreProperties>
</file>